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216/BTC-KBNN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4 tháng 12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249/TB-VP về việc báo cáo tiến độ giải ngân vốn đầu tư công,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82% khối lượng công việc. Tổng kinh phí đã giải ngân là 3.613.000.000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Ủy ban nhân dân các Quận/Huyện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