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218/BTC-TCT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911/TB-VP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87% khối lượng công việc. Tổng kinh phí đã giải ngân là 4.034.000.000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