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231/ĐHBK-PCTSV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188/TB-VP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90% khối lượng công việc. Tổng kinh phí đã giải ngân là 312.000.000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