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285/ĐHBK-VC</w:t>
            </w:r>
            <w:r>
              <w:rPr>
                <w:rFonts w:ascii="Times New Roman" w:hAnsi="Times New Roman" w:eastAsia="Times New Roman"/>
                <w:b/>
                <w:i w:val="0"/>
                <w:sz w:val="24"/>
              </w:rPr>
              <w:br/>
              <w:t>V/v hướng dẫn thực hiện quy chế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10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chuyển đổi số quốc gia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21/10/2024.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TL. CHỦ TỊCH</w:t>
              <w:br/>
              <w:t>GIÁM ĐỐC</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