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301/SYT-PKHTC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20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giải ngân vốn đầu tư công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05/12/2024.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