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311/ĐHBK-VC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741/TB-VP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71% khối lượng công việc. Tổng kinh phí đã giải ngân là 3.096.000.000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