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24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giải ngân vốn đầu tư công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08/04/2023.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