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338/ĐHBK-PCTSV</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1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09/02/2023.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PCTSV.</w:t>
            </w:r>
          </w:p>
        </w:tc>
        <w:tc>
          <w:tcPr>
            <w:tcW w:type="dxa" w:w="4320"/>
          </w:tcPr>
          <w:p>
            <w:pPr>
              <w:jc w:val="center"/>
            </w:pPr>
            <w:r>
              <w:rPr>
                <w:rFonts w:ascii="Times New Roman" w:hAnsi="Times New Roman" w:eastAsia="Times New Roman"/>
                <w:b/>
                <w:i w:val="0"/>
                <w:sz w:val="26"/>
              </w:rPr>
              <w:t>HIỆU TRƯỞNG</w:t>
              <w:br/>
              <w:t>CỤC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