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350/ĐHBK-PCTSV</w:t>
            </w:r>
            <w:r>
              <w:rPr>
                <w:rFonts w:ascii="Times New Roman" w:hAnsi="Times New Roman" w:eastAsia="Times New Roman"/>
                <w:b/>
                <w:i w:val="0"/>
                <w:sz w:val="24"/>
              </w:rPr>
              <w:br/>
              <w:t>V/v hướng dẫn thực hiện quy chế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16 tháng 7 năm 2023</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giải ngân vốn đầu tư công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31/07/2023.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PCTSV.</w:t>
            </w:r>
          </w:p>
        </w:tc>
        <w:tc>
          <w:tcPr>
            <w:tcW w:type="dxa" w:w="4320"/>
          </w:tcPr>
          <w:p>
            <w:pPr>
              <w:jc w:val="center"/>
            </w:pPr>
            <w:r>
              <w:rPr>
                <w:rFonts w:ascii="Times New Roman" w:hAnsi="Times New Roman" w:eastAsia="Times New Roman"/>
                <w:b/>
                <w:i w:val="0"/>
                <w:sz w:val="26"/>
              </w:rPr>
              <w:t>HIỆU TRƯỞNG</w:t>
              <w:br/>
              <w:t>CHÁNH VĂN PHÒNG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