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357/UBND-STC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10 tháng 11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794/TB-VP về việc báo cáo tiến độ đảm bảo an ninh trật tự, ỦY BAN NHÂN DÂN TỈNH LÂM ĐỒNG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79% khối lượng công việc. Tổng kinh phí đã giải ngân là 1.762.000.000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Ủy ban nhân dân các Quận/Huyện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