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361/BTC-KBNN</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6 tháng 6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Để đảm bảo tính thống nhất trong toàn hệ thống, BỘ TÀI CHÍNH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TÀI CHÍNH trước ngày 21/06/2024.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KBNN.</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