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372/BTC-VNSNN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56/KH-BTC ngày 9/9/2023 về việc giải ngân vốn đầu tư công,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12/02/2024.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