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415/SYT-PNVY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giải ngân vốn đầu tư công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17/11/2024.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