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424/ĐHBK-VC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360/TB-VP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76% khối lượng công việc. Tổng kinh phí đã giải ngân là 681.000.000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