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537/BGDĐT-CQLCL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875/TB-VP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90% khối lượng công việc. Tổng kinh phí đã giải ngân là 313.000.000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