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567/BGDĐT-VGDĐH</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8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giải ngân vốn đầu tư công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1.385.000.000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