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583/BGDĐT-CQLCL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737/TB-VP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60% khối lượng công việc. Tổng kinh phí đã giải ngân là 122.000.000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