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049/2026/HDT-CÔN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197 m2 tại tầng 1,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136.000.000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09/06/2023.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