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MUA BÁN HÀNG HÓA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063/2026/HDKT-TẬP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Thương mại số 36/2005/QH11; Căn cứ Bộ luật Dân sự 2015;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Cầu Giấy,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TNHH CÔNG NGHỆ VIỆT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Số 1 Đại Cồ Việt,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Nguyễn Văn A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Hàng hóa mua bán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bán và Bên B đồng ý mua lô hàng: Xi măng PCB40. Số lượng: 681 cái/bộ/tấn. Chất lượng: Theo tiêu chuẩn nhà sản xuất.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cả và phương thức thanh toán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Tổng giá trị hợp đồng: 1.152.000.000 VNĐ (Đã bao gồm VAT). Bên B thanh toán cho Bên A bằng chuyển khoản trong vòng 15 ngày sau khi nhận hàng.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gian và địa điểm giao hàng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giao hàng cho Bên B tại kho của Bên B ở TP. Hồ Chí Minh trước ngày 19/06/2025.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Bảo hành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Hàng hóa được bảo hành 12 tháng kể từ ngày ký biên bản bàn giao.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