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079/2026/HDT-TẬP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102 m2 tại tầng 11,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143.000.000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1 năm, bắt đầu từ ngày 25/03/2023.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