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120/2026/HDT-TẬP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89 m2 tại tầng 3,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256.000.000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17/02/2023.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