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146/2026/HDT-TẬP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85 m2 tại tầng 3,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136.000.000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1 năm, bắt đầu từ ngày 17/04/2023.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