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148/2026/HDT-CÔN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62 m2 tại tầng 12,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24.000.000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2 năm, bắt đầu từ ngày 26/04/2024.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