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195/2026/HDT-CÔN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175 m2 tại tầng 11,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72.000.000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16/09/2024.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