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KẾ HOẠCH VÀ ĐẦU TƯ</w:t>
            </w:r>
            <w:r>
              <w:rPr>
                <w:rFonts w:ascii="Times New Roman" w:hAnsi="Times New Roman" w:eastAsia="Times New Roman"/>
                <w:b w:val="0"/>
                <w:i w:val="0"/>
                <w:sz w:val="26"/>
              </w:rPr>
              <w:br/>
              <w:t>-------</w:t>
              <w:br/>
              <w:t>Số: 108/QĐ-KHVĐT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26 tháng 5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Hoàng Thị Em, chức vụ Chuyên viên thuộc Phòng Hành chính, do đã vi phạm quy định về bảo vệ bí mật nhà nước.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KẾ HOẠCH VÀ ĐẦU TƯ</w:t>
              <w:br/>
              <w:t>THỨ TRƯỞNG</w:t>
            </w:r>
            <w:r>
              <w:br/>
              <w:br/>
              <w:br/>
              <w:br/>
            </w:r>
            <w:r>
              <w:rPr>
                <w:rFonts w:ascii="Times New Roman" w:hAnsi="Times New Roman" w:eastAsia="Times New Roman"/>
                <w:b/>
                <w:i w:val="0"/>
                <w:sz w:val="26"/>
              </w:rPr>
              <w:t>Phạm Minh Dũng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