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HÀ GIANG</w:t>
            </w:r>
            <w:r>
              <w:rPr>
                <w:rFonts w:ascii="Times New Roman" w:hAnsi="Times New Roman" w:eastAsia="Times New Roman"/>
                <w:b w:val="0"/>
                <w:i w:val="0"/>
                <w:sz w:val="26"/>
              </w:rPr>
              <w:br/>
              <w:t>-------</w:t>
              <w:br/>
              <w:t>Số: 186/QĐ-UBND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4 tháng 2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Vũ Quốc Hưng, chức vụ Chuyên viên thuộc Ban Quản lý dự án, do đã vi phạm quy định về thực hiện giờ giấc làm việc.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