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201/QĐ-ĐHBK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21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19 cá nhân thuộc Phòng Hành chính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