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213/QĐ-UBND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18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696.000.000 đồng, thời gian thực hiện hợp đồng là 99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