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224/QĐ-UBND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5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8 cá nhân thuộc Phòng Hành chính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