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304/QĐ-GDVĐT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410.000.000 đồng, thời gian thực hiện hợp đồng là 170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