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331/QĐ-CT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869.000.000 đồng, thời gian thực hiện hợp đồng là 127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