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KẾ HOẠCH VÀ ĐẦU TƯ</w:t>
            </w:r>
            <w:r>
              <w:rPr>
                <w:rFonts w:ascii="Times New Roman" w:hAnsi="Times New Roman" w:eastAsia="Times New Roman"/>
                <w:b w:val="0"/>
                <w:i w:val="0"/>
                <w:sz w:val="26"/>
              </w:rPr>
              <w:br/>
              <w:t>-------</w:t>
              <w:br/>
              <w:t>Số: 349/QĐ-KHVĐT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 tháng 3 năm 2020</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dự toán kinh phí</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pPr>
        <w:jc w:val="both"/>
      </w:pPr>
      <w:r>
        <w:rPr>
          <w:rFonts w:ascii="Times New Roman" w:hAnsi="Times New Roman" w:eastAsia="Times New Roman"/>
          <w:b w:val="0"/>
          <w:i/>
          <w:sz w:val="26"/>
        </w:rPr>
        <w:t>Căn cứ Luật Kế toán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dự toán kinh phí thực hiện dự án 'Cải tạo cảnh quan khuôn viên' với tổng số tiền là 503.000.000 đồng. Nguồn kinh phí được trích từ nguồn chi thường xuyên năm 2024.</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KẾ HOẠCH VÀ ĐẦU TƯ</w:t>
              <w:br/>
              <w:t>VỤ TRƯỞNG VỤ TỔ CHỨC CÁN BỘ</w:t>
            </w:r>
            <w:r>
              <w:br/>
              <w:br/>
              <w:br/>
              <w:br/>
            </w:r>
            <w:r>
              <w:rPr>
                <w:rFonts w:ascii="Times New Roman" w:hAnsi="Times New Roman" w:eastAsia="Times New Roman"/>
                <w:b/>
                <w:i w:val="0"/>
                <w:sz w:val="26"/>
              </w:rPr>
              <w:t>Ngô Bảo Châu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