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387/QĐ-GDVĐT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27 tháng 3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4 tập thể và 20 cá nhân thuộc Phòng Hành chính đã có thành tích xuất sắc trong phong trào 'Lao động sáng tạo'.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BỘ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