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4320"/>
        <w:gridCol w:w="4320"/>
      </w:tblGrid>
      <w:tr>
        <w:tc>
          <w:tcPr>
            <w:tcW w:type="dxa" w:w="4320"/>
          </w:tcPr>
          <w:p>
            <w:pPr>
              <w:jc w:val="center"/>
            </w:pPr>
            <w:r>
              <w:rPr>
                <w:rFonts w:ascii="Times New Roman" w:hAnsi="Times New Roman" w:eastAsia="Times New Roman"/>
                <w:b/>
                <w:i w:val="0"/>
                <w:sz w:val="26"/>
              </w:rPr>
              <w:t>BỘ KẾ HOẠCH VÀ ĐẦU TƯ</w:t>
            </w:r>
            <w:r>
              <w:rPr>
                <w:rFonts w:ascii="Times New Roman" w:hAnsi="Times New Roman" w:eastAsia="Times New Roman"/>
                <w:b w:val="0"/>
                <w:i w:val="0"/>
                <w:sz w:val="26"/>
              </w:rPr>
              <w:br/>
              <w:t>-------</w:t>
              <w:br/>
              <w:t>Số: 419/QĐ-KHVĐT</w:t>
            </w:r>
          </w:p>
        </w:tc>
        <w:tc>
          <w:tcPr>
            <w:tcW w:type="dxa" w:w="4320"/>
          </w:tcPr>
          <w:p>
            <w:pPr>
              <w:jc w:val="center"/>
            </w:pPr>
            <w:r>
              <w:rPr>
                <w:rFonts w:ascii="Times New Roman" w:hAnsi="Times New Roman" w:eastAsia="Times New Roman"/>
                <w:b/>
                <w:i w:val="0"/>
                <w:sz w:val="24"/>
              </w:rPr>
              <w:t>CỘNG HÒA XÃ HỘI CHỦ NGHĨA VIỆT NAM</w:t>
            </w:r>
            <w:r>
              <w:rPr>
                <w:rFonts w:ascii="Times New Roman" w:hAnsi="Times New Roman" w:eastAsia="Times New Roman"/>
                <w:b/>
                <w:i w:val="0"/>
                <w:sz w:val="26"/>
              </w:rPr>
              <w:br/>
              <w:t>Độc lập - Tự do - Hạnh phúc</w:t>
            </w:r>
            <w:r>
              <w:rPr>
                <w:rFonts w:ascii="Times New Roman" w:hAnsi="Times New Roman" w:eastAsia="Times New Roman"/>
                <w:b w:val="0"/>
                <w:i/>
                <w:sz w:val="26"/>
              </w:rPr>
              <w:br/>
              <w:t>-------</w:t>
              <w:br/>
              <w:t>Hà Nội, ngày 20 tháng 9 năm 2023</w:t>
            </w:r>
          </w:p>
        </w:tc>
      </w:tr>
    </w:tbl>
    <w:p/>
    <w:p>
      <w:pPr>
        <w:jc w:val="center"/>
      </w:pPr>
      <w:r>
        <w:rPr>
          <w:rFonts w:ascii="Times New Roman" w:hAnsi="Times New Roman" w:eastAsia="Times New Roman"/>
          <w:b/>
          <w:i w:val="0"/>
          <w:sz w:val="30"/>
        </w:rPr>
        <w:t>QUYẾT ĐỊNH</w:t>
      </w:r>
    </w:p>
    <w:p>
      <w:pPr>
        <w:jc w:val="center"/>
      </w:pPr>
      <w:r>
        <w:rPr>
          <w:rFonts w:ascii="Times New Roman" w:hAnsi="Times New Roman" w:eastAsia="Times New Roman"/>
          <w:b/>
          <w:i w:val="0"/>
          <w:sz w:val="28"/>
        </w:rPr>
        <w:t>Về việc thi hành kỷ luật viên chức</w:t>
      </w:r>
    </w:p>
    <w:p/>
    <w:p>
      <w:pPr>
        <w:jc w:val="both"/>
      </w:pPr>
      <w:r>
        <w:rPr>
          <w:rFonts w:ascii="Times New Roman" w:hAnsi="Times New Roman" w:eastAsia="Times New Roman"/>
          <w:b w:val="0"/>
          <w:i/>
          <w:sz w:val="26"/>
        </w:rPr>
        <w:t>Căn cứ Nghị định số 123/2016/NĐ-CP quy định chức năng, nhiệm vụ của Bộ;</w:t>
      </w:r>
    </w:p>
    <w:p>
      <w:pPr>
        <w:jc w:val="both"/>
      </w:pPr>
      <w:r>
        <w:rPr>
          <w:rFonts w:ascii="Times New Roman" w:hAnsi="Times New Roman" w:eastAsia="Times New Roman"/>
          <w:b w:val="0"/>
          <w:i/>
          <w:sz w:val="26"/>
        </w:rPr>
        <w:t>Căn cứ Luật Cán bộ, công chức năm 2008;</w:t>
      </w:r>
    </w:p>
    <w:p>
      <w:r>
        <w:rPr>
          <w:rFonts w:ascii="Times New Roman" w:hAnsi="Times New Roman" w:eastAsia="Times New Roman"/>
          <w:b w:val="0"/>
          <w:i w:val="0"/>
          <w:sz w:val="26"/>
        </w:rPr>
        <w:t>Theo đề nghị của Trưởng phòng Tổ chức - Hành chính.</w:t>
      </w:r>
    </w:p>
    <w:p>
      <w:pPr>
        <w:jc w:val="center"/>
      </w:pPr>
      <w:r>
        <w:rPr>
          <w:rFonts w:ascii="Times New Roman" w:hAnsi="Times New Roman" w:eastAsia="Times New Roman"/>
          <w:b/>
          <w:i w:val="0"/>
          <w:sz w:val="28"/>
        </w:rPr>
        <w:t>QUYẾT ĐỊNH:</w:t>
      </w:r>
    </w:p>
    <w:p>
      <w:pPr>
        <w:jc w:val="both"/>
      </w:pPr>
      <w:r>
        <w:rPr>
          <w:rFonts w:ascii="Times New Roman" w:hAnsi="Times New Roman" w:eastAsia="Times New Roman"/>
          <w:b/>
          <w:i w:val="0"/>
          <w:sz w:val="26"/>
        </w:rPr>
        <w:t xml:space="preserve">Điều 1. </w:t>
      </w:r>
      <w:r>
        <w:rPr>
          <w:rFonts w:ascii="Times New Roman" w:hAnsi="Times New Roman" w:eastAsia="Times New Roman"/>
          <w:b w:val="0"/>
          <w:i w:val="0"/>
          <w:sz w:val="26"/>
        </w:rPr>
        <w:t>Thi hành kỷ luật bằng hình thức Cảnh cáo đối với ông/bà Vũ Quốc Hưng, chức vụ Chuyên viên thuộc Ban Quản lý dự án, do đã vi phạm quy định về quản lý tài chính. Thời gian thi hành kỷ luật là 12 tháng.</w:t>
      </w:r>
    </w:p>
    <w:p>
      <w:r>
        <w:rPr>
          <w:rFonts w:ascii="Times New Roman" w:hAnsi="Times New Roman" w:eastAsia="Times New Roman"/>
          <w:b/>
          <w:i w:val="0"/>
          <w:sz w:val="26"/>
        </w:rPr>
        <w:t xml:space="preserve">Điều 2. </w:t>
      </w:r>
      <w:r>
        <w:rPr>
          <w:rFonts w:ascii="Times New Roman" w:hAnsi="Times New Roman" w:eastAsia="Times New Roman"/>
          <w:b w:val="0"/>
          <w:i w:val="0"/>
          <w:sz w:val="26"/>
        </w:rPr>
        <w:t>Quyết định này có hiệu lực kể từ ngày ký.</w:t>
      </w:r>
    </w:p>
    <w:p>
      <w:pPr>
        <w:jc w:val="both"/>
      </w:pPr>
      <w:r>
        <w:rPr>
          <w:rFonts w:ascii="Times New Roman" w:hAnsi="Times New Roman" w:eastAsia="Times New Roman"/>
          <w:b/>
          <w:i w:val="0"/>
          <w:sz w:val="26"/>
        </w:rPr>
        <w:t xml:space="preserve">Điều 3. </w:t>
      </w:r>
      <w:r>
        <w:rPr>
          <w:rFonts w:ascii="Times New Roman" w:hAnsi="Times New Roman" w:eastAsia="Times New Roman"/>
          <w:b w:val="0"/>
          <w:i w:val="0"/>
          <w:sz w:val="26"/>
        </w:rPr>
        <w:t>Chánh Văn phòng, Trưởng các đơn vị liên quan và các ông/bà có tên tại Điều 1 chịu trách nhiệm thi hành Quyết định này./.</w:t>
      </w:r>
    </w:p>
    <w:p/>
    <w:tbl>
      <w:tblPr>
        <w:tblW w:type="auto" w:w="0"/>
        <w:tblLook w:firstColumn="1" w:firstRow="1" w:lastColumn="0" w:lastRow="0" w:noHBand="0" w:noVBand="1" w:val="04A0"/>
      </w:tblPr>
      <w:tblGrid>
        <w:gridCol w:w="4320"/>
        <w:gridCol w:w="4320"/>
      </w:tblGrid>
      <w:tr>
        <w:tc>
          <w:tcPr>
            <w:tcW w:type="dxa" w:w="4320"/>
          </w:tcPr>
          <w:p>
            <w:r>
              <w:rPr>
                <w:rFonts w:ascii="Times New Roman" w:hAnsi="Times New Roman" w:eastAsia="Times New Roman"/>
                <w:b/>
                <w:i/>
                <w:sz w:val="24"/>
              </w:rPr>
              <w:t>Nơi nhận:</w:t>
            </w:r>
            <w:r>
              <w:rPr>
                <w:rFonts w:ascii="Times New Roman" w:hAnsi="Times New Roman" w:eastAsia="Times New Roman"/>
                <w:b w:val="0"/>
                <w:i w:val="0"/>
                <w:sz w:val="22"/>
              </w:rPr>
              <w:br/>
              <w:t>- Như Điều 3;</w:t>
              <w:br/>
              <w:t>- Lưu: VT, PC.</w:t>
            </w:r>
          </w:p>
        </w:tc>
        <w:tc>
          <w:tcPr>
            <w:tcW w:type="dxa" w:w="4320"/>
          </w:tcPr>
          <w:p>
            <w:pPr>
              <w:jc w:val="center"/>
            </w:pPr>
            <w:r>
              <w:rPr>
                <w:rFonts w:ascii="Times New Roman" w:hAnsi="Times New Roman" w:eastAsia="Times New Roman"/>
                <w:b/>
                <w:i w:val="0"/>
                <w:sz w:val="26"/>
              </w:rPr>
              <w:t>TM. BỘ KẾ HOẠCH VÀ ĐẦU TƯ</w:t>
              <w:br/>
              <w:t>THỨ TRƯỞNG</w:t>
            </w:r>
            <w:r>
              <w:br/>
              <w:br/>
              <w:br/>
              <w:br/>
            </w:r>
            <w:r>
              <w:rPr>
                <w:rFonts w:ascii="Times New Roman" w:hAnsi="Times New Roman" w:eastAsia="Times New Roman"/>
                <w:b/>
                <w:i w:val="0"/>
                <w:sz w:val="26"/>
              </w:rPr>
              <w:t>Lê Văn Cường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