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448/QĐ-CT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820.000.000 đồng, thời gian thực hiện hợp đồng là 97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