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525/QĐ-GDVĐT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16 cá nhân thuộc Phòng Hành chính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