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567/QĐ-GDVĐT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7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15 cá nhân thuộc Phòng Hành chính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