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025/TTr-TCCB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4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Bộ trưởng ký ban hành Quy chế chi tiêu nội bộ mới (gồm 12 chương, 26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