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BAN QUẢN LÝ DỰ ÁN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030/TTr-BQLDA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Đà Nẵng, ngày 22 tháng 10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ban hành Quy chế chi tiêu nội bộ (sửa đổi)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SỞ KẾ HOẠCH VÀ ĐẦU TƯ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Nghị định số 60/2021/NĐ-CP về cơ chế tự chủ tài chính;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biên bản họp Hội nghị cán bộ công chức ngày ngày 22 tháng 1 năm 2024;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Quy chế cũ đã không còn phù hợp với các quy định mới của pháp luật và tình hình thực tế tại đơn vị.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Trình Giám đốc Sở ký ban hành Quy chế chi tiêu nội bộ mới (gồm 12 chương, 15 điều) thay thế quy chế cũ.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trình xem xét, quyết định.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BQLDA.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TRƯỞNG BAN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Hoàng Thị 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