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042/TTr-CNTT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27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16 tháng 8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Hiệu trưởng ký ban hành Quy chế chi tiêu nội bộ mới (gồm 11 chương, 28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