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120/TTr-STC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25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18 tháng 7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Thành phố ký ban hành Quy chế chi tiêu nội bộ mới (gồm 4 chương, 21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