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BAN QUẢN LÝ DỰ ÁN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146/TTr-BQLDA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5 tháng 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23 tháng 5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Giám đốc Sở ký ban hành Quy chế chi tiêu nội bộ mới (gồm 14 chương, 29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BQLDA.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