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214/TTr-CNTT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12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16 tháng 3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Hiệu trưởng ký ban hành Quy chế chi tiêu nội bộ mới (gồm 13 chương, 17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