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247/TTr-BQLDA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7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5 tháng 4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Giám đốc Sở ký ban hành Quy chế chi tiêu nội bộ mới (gồm 15 chương, 30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