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251/TTr-STC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13 tháng 1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Thành phố ký ban hành Quy chế chi tiêu nội bộ mới (gồm 7 chương, 10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