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267/TTr-BQLDA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15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24 tháng 10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Giám đốc Sở ký ban hành Quy chế chi tiêu nội bộ mới (gồm 8 chương, 25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