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306/TTr-TCCB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25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1 tháng 5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Bộ trưởng ký ban hành Quy chế chi tiêu nội bộ mới (gồm 6 chương, 28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