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324/TTr-STC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Nâng cấp hạ tầng mạng LAN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Nâng cấp hạ tầng mạng LAN với tổng mức đầu tư là 3.336.000.000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