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370/TTr-PGDĐT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1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9 tháng 2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Chủ tịch UBND Quận ký ban hành Quy chế chi tiêu nội bộ mới (gồm 6 chương, 17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