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387/TTr-BQLDA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27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30 tháng 7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Giám đốc Sở ký ban hành Quy chế chi tiêu nội bộ mới (gồm 12 chương, 19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